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rPr>
          <w:sz w:val="31"/>
          <w:szCs w:val="31"/>
        </w:rPr>
      </w:pPr>
      <w:r>
        <w:rPr>
          <w:color w:val="555555"/>
          <w:sz w:val="31"/>
          <w:szCs w:val="31"/>
          <w:bdr w:val="none" w:color="auto" w:sz="0" w:space="0"/>
        </w:rPr>
        <w:t>易制毒化学品的分类和品种目录</w:t>
      </w:r>
    </w:p>
    <w:tbl>
      <w:tblPr>
        <w:tblW w:w="9087" w:type="dxa"/>
        <w:jc w:val="center"/>
        <w:tblInd w:w="-2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81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1-苯基-2-丙酮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3，4-亚甲基二氧苯基-2-丙酮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胡椒醛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黄樟素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黄樟油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异黄樟素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N-乙酰邻氨基苯酸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邻氨基苯甲酸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麦角酸*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麦角胺*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麦角新碱*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麻黄素、伪麻黄素、消旋麻黄素、去甲麻黄素、甲基麻黄素、麻黄浸膏、麻黄浸膏粉等麻黄素类物质*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0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苯乙酸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醋酸酐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三氯甲烷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乙醚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哌啶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0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甲苯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丙酮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甲基乙基酮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高锰酸钾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硫酸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  明</w:t>
            </w:r>
          </w:p>
        </w:tc>
        <w:tc>
          <w:tcPr>
            <w:tcW w:w="8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 xml:space="preserve">1、第一类、第二类所列物质可能存在的盐类，也纳入管制。 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2、带有*标记的品种为第一类中的药品类易制毒化学品，第一类中的药品类易制毒化学品包括原料药及其单方制剂。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F51E2"/>
    <w:rsid w:val="237F51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40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55555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555555"/>
      <w:u w:val="none"/>
    </w:rPr>
  </w:style>
  <w:style w:type="character" w:styleId="8">
    <w:name w:val="HTML Code"/>
    <w:basedOn w:val="3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prefix"/>
    <w:basedOn w:val="3"/>
    <w:uiPriority w:val="0"/>
  </w:style>
  <w:style w:type="character" w:customStyle="1" w:styleId="13">
    <w:name w:val="suffix"/>
    <w:basedOn w:val="3"/>
    <w:uiPriority w:val="0"/>
  </w:style>
  <w:style w:type="character" w:customStyle="1" w:styleId="14">
    <w:name w:val="hover13"/>
    <w:basedOn w:val="3"/>
    <w:uiPriority w:val="0"/>
    <w:rPr>
      <w:color w:val="0055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2018-05-04T03:25:00Z</dcterms:created>
  <dc:creator>Administrator</dc:creator>
  <cp:lastModifiedBy>Administrator</cp:lastModifiedBy>
  <dcterms:modified xsi:type="dcterms:W3CDTF">2018-05-04T03:26:03Z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